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9F1279">
        <w:rPr>
          <w:rFonts w:ascii="Times New Roman" w:hAnsi="Times New Roman"/>
          <w:sz w:val="24"/>
        </w:rPr>
        <w:t>12048</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90EED" w:rsidRPr="00090EED">
        <w:rPr>
          <w:rFonts w:ascii="Arial" w:hAnsi="Arial" w:cs="Arial"/>
          <w:sz w:val="24"/>
          <w:lang w:val="en-US" w:eastAsia="zh-CN"/>
        </w:rPr>
        <w:t>Independent gap pattern for NR-U measurements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90EED">
        <w:rPr>
          <w:rFonts w:ascii="Arial" w:hAnsi="Arial" w:cs="Arial"/>
          <w:sz w:val="24"/>
          <w:lang w:val="en-US" w:eastAsia="zh-CN"/>
        </w:rPr>
        <w:t>8.1.4.13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DE0401" w:rsidRDefault="00DE0401" w:rsidP="002072ED">
      <w:r>
        <w:t>In RAN</w:t>
      </w:r>
      <w:r w:rsidR="002072ED">
        <w:t>4</w:t>
      </w:r>
      <w:r>
        <w:t>#</w:t>
      </w:r>
      <w:r w:rsidR="002072ED">
        <w:t xml:space="preserve">92 we proposed </w:t>
      </w:r>
      <w:r w:rsidR="002072ED" w:rsidRPr="002072ED">
        <w:t>a capability to measure NR-U bands with an independent gap pattern</w:t>
      </w:r>
      <w:r w:rsidR="002072ED">
        <w:t xml:space="preserve"> in </w:t>
      </w:r>
      <w:r w:rsidR="002072ED">
        <w:fldChar w:fldCharType="begin"/>
      </w:r>
      <w:r w:rsidR="002072ED">
        <w:instrText xml:space="preserve"> REF _Ref20388263 \r \h </w:instrText>
      </w:r>
      <w:r w:rsidR="002072ED">
        <w:fldChar w:fldCharType="separate"/>
      </w:r>
      <w:r w:rsidR="002072ED">
        <w:t>[1]</w:t>
      </w:r>
      <w:r w:rsidR="002072ED">
        <w:fldChar w:fldCharType="end"/>
      </w:r>
      <w:r w:rsidR="002072ED">
        <w:t xml:space="preserve">. To simplify implementation we also proposed in </w:t>
      </w:r>
      <w:r w:rsidR="002072ED">
        <w:fldChar w:fldCharType="begin"/>
      </w:r>
      <w:r w:rsidR="002072ED">
        <w:instrText xml:space="preserve"> REF _Ref20388263 \r \h </w:instrText>
      </w:r>
      <w:r w:rsidR="002072ED">
        <w:fldChar w:fldCharType="separate"/>
      </w:r>
      <w:r w:rsidR="002072ED">
        <w:t>[1]</w:t>
      </w:r>
      <w:r w:rsidR="002072ED">
        <w:fldChar w:fldCharType="end"/>
      </w:r>
      <w:r w:rsidR="002072ED">
        <w:t xml:space="preserve"> that UEs with this capability and the existing per FR measurement gap capability would not be required to measure FR1, FR2 and NR-U simultaneously.</w:t>
      </w:r>
    </w:p>
    <w:p w:rsidR="002072ED" w:rsidRPr="0065502B" w:rsidRDefault="002072ED" w:rsidP="002072ED">
      <w:r>
        <w:t>The contribution was noted and no decision was made, although some useful feedback was given by other companies. In this paper, we further discuss the possibility of a per FR FR1+NR-U measurement capability</w:t>
      </w:r>
      <w:r w:rsidR="00090EED">
        <w:t xml:space="preserve"> or a per FR F2+NR-U measurement capability.</w:t>
      </w:r>
    </w:p>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2072ED" w:rsidP="006B6666">
      <w:pPr>
        <w:rPr>
          <w:lang w:val="en-US" w:eastAsia="zh-CN"/>
        </w:rPr>
      </w:pPr>
      <w:r>
        <w:rPr>
          <w:lang w:val="en-US" w:eastAsia="zh-CN"/>
        </w:rPr>
        <w:t xml:space="preserve">As we know, deployments on </w:t>
      </w:r>
      <w:proofErr w:type="spellStart"/>
      <w:r>
        <w:rPr>
          <w:lang w:val="en-US" w:eastAsia="zh-CN"/>
        </w:rPr>
        <w:t>unlicenced</w:t>
      </w:r>
      <w:proofErr w:type="spellEnd"/>
      <w:r>
        <w:rPr>
          <w:lang w:val="en-US" w:eastAsia="zh-CN"/>
        </w:rPr>
        <w:t xml:space="preserve"> bands are typically unplanned, or less planned that operator deployments on </w:t>
      </w:r>
      <w:proofErr w:type="spellStart"/>
      <w:r>
        <w:rPr>
          <w:lang w:val="en-US" w:eastAsia="zh-CN"/>
        </w:rPr>
        <w:t>licenced</w:t>
      </w:r>
      <w:proofErr w:type="spellEnd"/>
      <w:r>
        <w:rPr>
          <w:lang w:val="en-US" w:eastAsia="zh-CN"/>
        </w:rPr>
        <w:t xml:space="preserve"> bands. NR-U deployments will coexist with </w:t>
      </w:r>
      <w:proofErr w:type="spellStart"/>
      <w:r>
        <w:rPr>
          <w:lang w:val="en-US" w:eastAsia="zh-CN"/>
        </w:rPr>
        <w:t>wifi</w:t>
      </w:r>
      <w:proofErr w:type="spellEnd"/>
      <w:r>
        <w:rPr>
          <w:lang w:val="en-US" w:eastAsia="zh-CN"/>
        </w:rPr>
        <w:t xml:space="preserve"> deployments, and the proper coexistence is achieved by LBT functionality rather than careful network planning. NR-U sites are likely to be small cells for hotspot deployments etc. </w:t>
      </w:r>
    </w:p>
    <w:p w:rsidR="002072ED" w:rsidRDefault="002072ED" w:rsidP="006B6666">
      <w:pPr>
        <w:rPr>
          <w:b/>
          <w:lang w:val="en-US" w:eastAsia="zh-CN"/>
        </w:rPr>
      </w:pPr>
      <w:r>
        <w:rPr>
          <w:b/>
          <w:lang w:val="en-US" w:eastAsia="zh-CN"/>
        </w:rPr>
        <w:t>Observation 1 : NR-U deployments will be unplanned, or less planned than licensed NR deployments</w:t>
      </w:r>
    </w:p>
    <w:p w:rsidR="00B811A7" w:rsidRDefault="00B811A7" w:rsidP="006B6666">
      <w:pPr>
        <w:rPr>
          <w:lang w:val="en-US" w:eastAsia="zh-CN"/>
        </w:rPr>
      </w:pPr>
      <w:r>
        <w:rPr>
          <w:lang w:val="en-US" w:eastAsia="zh-CN"/>
        </w:rPr>
        <w:t xml:space="preserve">In addition, one important way to avoid interference on unlicensed bands is to operate on a frequency not overlapped by a significant aggressor system. The existence of an aggressor on a given operating frequency can be established by several means including </w:t>
      </w:r>
      <w:proofErr w:type="spellStart"/>
      <w:r>
        <w:rPr>
          <w:lang w:val="en-US" w:eastAsia="zh-CN"/>
        </w:rPr>
        <w:t>gNB</w:t>
      </w:r>
      <w:proofErr w:type="spellEnd"/>
      <w:r>
        <w:rPr>
          <w:lang w:val="en-US" w:eastAsia="zh-CN"/>
        </w:rPr>
        <w:t xml:space="preserve"> measurements, UE measurements of channel occupancy or RSSI, counting LBT failure rate and so on. To mitigate a channel frequency which is overloaded and often unavailable, an NR-U access point may change to a different channel frequency.</w:t>
      </w:r>
    </w:p>
    <w:p w:rsidR="002072ED" w:rsidRDefault="002072ED" w:rsidP="006B6666">
      <w:pPr>
        <w:rPr>
          <w:lang w:val="en-US" w:eastAsia="zh-CN"/>
        </w:rPr>
      </w:pPr>
      <w:r w:rsidRPr="002072ED">
        <w:rPr>
          <w:lang w:val="en-US" w:eastAsia="zh-CN"/>
        </w:rPr>
        <w:t>F</w:t>
      </w:r>
      <w:r>
        <w:rPr>
          <w:lang w:val="en-US" w:eastAsia="zh-CN"/>
        </w:rPr>
        <w:t xml:space="preserve">or this reason, it is likely that a relatively large number of NR-U operating frequencies may need to be provided </w:t>
      </w:r>
      <w:r w:rsidR="00090EED">
        <w:rPr>
          <w:lang w:val="en-US" w:eastAsia="zh-CN"/>
        </w:rPr>
        <w:t xml:space="preserve">in </w:t>
      </w:r>
      <w:proofErr w:type="spellStart"/>
      <w:r w:rsidR="00090EED">
        <w:rPr>
          <w:lang w:val="en-US" w:eastAsia="zh-CN"/>
        </w:rPr>
        <w:t>neighbour</w:t>
      </w:r>
      <w:proofErr w:type="spellEnd"/>
      <w:r w:rsidR="00090EED">
        <w:rPr>
          <w:lang w:val="en-US" w:eastAsia="zh-CN"/>
        </w:rPr>
        <w:t xml:space="preserve"> lists </w:t>
      </w:r>
      <w:r>
        <w:rPr>
          <w:lang w:val="en-US" w:eastAsia="zh-CN"/>
        </w:rPr>
        <w:t>to NR-U capable UEs</w:t>
      </w:r>
    </w:p>
    <w:p w:rsidR="00B811A7" w:rsidRPr="00B811A7" w:rsidRDefault="00B811A7" w:rsidP="006B6666">
      <w:pPr>
        <w:rPr>
          <w:b/>
          <w:lang w:val="en-US" w:eastAsia="zh-CN"/>
        </w:rPr>
      </w:pPr>
      <w:r>
        <w:rPr>
          <w:b/>
          <w:lang w:val="en-US" w:eastAsia="zh-CN"/>
        </w:rPr>
        <w:t xml:space="preserve">Observation 2 : Due to the unplanned nature of NR-U deployment, it is likely that a </w:t>
      </w:r>
      <w:r w:rsidRPr="00B811A7">
        <w:rPr>
          <w:b/>
          <w:lang w:val="en-US" w:eastAsia="zh-CN"/>
        </w:rPr>
        <w:t>relatively large number of NR-U operating frequencies</w:t>
      </w:r>
      <w:r w:rsidR="00BB712C">
        <w:rPr>
          <w:b/>
          <w:lang w:val="en-US" w:eastAsia="zh-CN"/>
        </w:rPr>
        <w:t xml:space="preserve"> (</w:t>
      </w:r>
      <w:proofErr w:type="spellStart"/>
      <w:r w:rsidR="00BB712C">
        <w:rPr>
          <w:b/>
          <w:lang w:val="en-US" w:eastAsia="zh-CN"/>
        </w:rPr>
        <w:t>interfrequency</w:t>
      </w:r>
      <w:proofErr w:type="spellEnd"/>
      <w:r w:rsidR="00BB712C">
        <w:rPr>
          <w:b/>
          <w:lang w:val="en-US" w:eastAsia="zh-CN"/>
        </w:rPr>
        <w:t>/</w:t>
      </w:r>
      <w:proofErr w:type="spellStart"/>
      <w:r w:rsidR="00BB712C">
        <w:rPr>
          <w:b/>
          <w:lang w:val="en-US" w:eastAsia="zh-CN"/>
        </w:rPr>
        <w:t>interRAT</w:t>
      </w:r>
      <w:proofErr w:type="spellEnd"/>
      <w:r w:rsidR="00BB712C">
        <w:rPr>
          <w:b/>
          <w:lang w:val="en-US" w:eastAsia="zh-CN"/>
        </w:rPr>
        <w:t>)</w:t>
      </w:r>
      <w:r w:rsidRPr="00B811A7">
        <w:rPr>
          <w:b/>
          <w:lang w:val="en-US" w:eastAsia="zh-CN"/>
        </w:rPr>
        <w:t xml:space="preserve"> may need to be provided to NR-U capable UEs</w:t>
      </w:r>
      <w:r w:rsidR="00090EED">
        <w:rPr>
          <w:b/>
          <w:lang w:val="en-US" w:eastAsia="zh-CN"/>
        </w:rPr>
        <w:t xml:space="preserve"> in </w:t>
      </w:r>
      <w:proofErr w:type="spellStart"/>
      <w:r w:rsidR="00090EED">
        <w:rPr>
          <w:b/>
          <w:lang w:val="en-US" w:eastAsia="zh-CN"/>
        </w:rPr>
        <w:t>neighbour</w:t>
      </w:r>
      <w:proofErr w:type="spellEnd"/>
      <w:r w:rsidR="00090EED">
        <w:rPr>
          <w:b/>
          <w:lang w:val="en-US" w:eastAsia="zh-CN"/>
        </w:rPr>
        <w:t xml:space="preserve"> lists</w:t>
      </w:r>
    </w:p>
    <w:p w:rsidR="00BC3922" w:rsidRDefault="00B811A7" w:rsidP="006B6666">
      <w:pPr>
        <w:rPr>
          <w:lang w:val="en-US" w:eastAsia="zh-CN"/>
        </w:rPr>
      </w:pPr>
      <w:r>
        <w:rPr>
          <w:lang w:val="en-US" w:eastAsia="zh-CN"/>
        </w:rPr>
        <w:t>Another aspect of NR-U operation is that UE RRM performance is typically worse on an unlicensed band than on a licensed band. This is particularly due to the LBT operation, which means that the UE must both hypothesize that selected reference symbols (</w:t>
      </w:r>
      <w:proofErr w:type="spellStart"/>
      <w:r>
        <w:rPr>
          <w:lang w:val="en-US" w:eastAsia="zh-CN"/>
        </w:rPr>
        <w:t>eg</w:t>
      </w:r>
      <w:proofErr w:type="spellEnd"/>
      <w:r>
        <w:rPr>
          <w:lang w:val="en-US" w:eastAsia="zh-CN"/>
        </w:rPr>
        <w:t xml:space="preserve"> SSB, CSI-RS) may not be present in every reception opportunity, and due to the loss of reference symbols themselves in LBT operations. This means that many RRM delays are extended for a carrier frequency where CCA is used, compared with carrier frequencies where CCA is not used.</w:t>
      </w:r>
    </w:p>
    <w:p w:rsidR="00B811A7" w:rsidRDefault="00B811A7" w:rsidP="006B6666">
      <w:pPr>
        <w:rPr>
          <w:b/>
          <w:lang w:val="en-US" w:eastAsia="zh-CN"/>
        </w:rPr>
      </w:pPr>
      <w:r>
        <w:rPr>
          <w:b/>
          <w:lang w:val="en-US" w:eastAsia="zh-CN"/>
        </w:rPr>
        <w:t>Observation 3 : M</w:t>
      </w:r>
      <w:r w:rsidRPr="00B811A7">
        <w:rPr>
          <w:b/>
          <w:lang w:val="en-US" w:eastAsia="zh-CN"/>
        </w:rPr>
        <w:t>any RRM delays are extended for a carrier frequency where CCA is used, compared with carrier frequencies where CCA is not used</w:t>
      </w:r>
    </w:p>
    <w:p w:rsidR="00B811A7" w:rsidRDefault="00B811A7" w:rsidP="006B6666">
      <w:pPr>
        <w:rPr>
          <w:lang w:val="en-US" w:eastAsia="zh-CN"/>
        </w:rPr>
      </w:pPr>
      <w:r>
        <w:rPr>
          <w:lang w:val="en-US" w:eastAsia="zh-CN"/>
        </w:rPr>
        <w:t xml:space="preserve">Finally, the deployment of NR-U cells does not take away the need for </w:t>
      </w:r>
      <w:proofErr w:type="spellStart"/>
      <w:r>
        <w:rPr>
          <w:lang w:val="en-US" w:eastAsia="zh-CN"/>
        </w:rPr>
        <w:t>licenced</w:t>
      </w:r>
      <w:proofErr w:type="spellEnd"/>
      <w:r>
        <w:rPr>
          <w:lang w:val="en-US" w:eastAsia="zh-CN"/>
        </w:rPr>
        <w:t xml:space="preserve"> carrier</w:t>
      </w:r>
      <w:r w:rsidR="00090EED">
        <w:rPr>
          <w:lang w:val="en-US" w:eastAsia="zh-CN"/>
        </w:rPr>
        <w:t xml:space="preserve"> measurements</w:t>
      </w:r>
      <w:r>
        <w:rPr>
          <w:lang w:val="en-US" w:eastAsia="zh-CN"/>
        </w:rPr>
        <w:t xml:space="preserve"> which provide a good and seamless mobility experience especially in areas where NR-U is unavailable.</w:t>
      </w:r>
    </w:p>
    <w:p w:rsidR="00B811A7" w:rsidRDefault="00B811A7" w:rsidP="006B6666">
      <w:pPr>
        <w:rPr>
          <w:b/>
          <w:lang w:val="en-US" w:eastAsia="zh-CN"/>
        </w:rPr>
      </w:pPr>
      <w:r>
        <w:rPr>
          <w:b/>
          <w:lang w:val="en-US" w:eastAsia="zh-CN"/>
        </w:rPr>
        <w:t>Observation 4 : The system needs for RRM on licensed carriers are typically not relaxed when NR-U is deployed.</w:t>
      </w:r>
    </w:p>
    <w:p w:rsidR="00B811A7" w:rsidRDefault="00B811A7" w:rsidP="006B6666">
      <w:pPr>
        <w:rPr>
          <w:lang w:val="en-US" w:eastAsia="zh-CN"/>
        </w:rPr>
      </w:pPr>
      <w:r>
        <w:rPr>
          <w:lang w:val="en-US" w:eastAsia="zh-CN"/>
        </w:rPr>
        <w:t xml:space="preserve">Taking observations 1-4 together, it is clear that RRM delays may become </w:t>
      </w:r>
      <w:r w:rsidR="00BB712C">
        <w:rPr>
          <w:lang w:val="en-US" w:eastAsia="zh-CN"/>
        </w:rPr>
        <w:t>larger when NR-U is deployed. Of particular concern is the impact to licensed cell mobility, although the additional delays when moving between NR-U nodes is also relevant.</w:t>
      </w:r>
      <w:r w:rsidR="00DA3C97">
        <w:rPr>
          <w:lang w:val="en-US" w:eastAsia="zh-CN"/>
        </w:rPr>
        <w:t xml:space="preserve"> Due to CSSF scaling of gap based measurements, measurements of unlicensed carriers will impact the measurement of </w:t>
      </w:r>
      <w:proofErr w:type="spellStart"/>
      <w:r w:rsidR="00DA3C97">
        <w:rPr>
          <w:lang w:val="en-US" w:eastAsia="zh-CN"/>
        </w:rPr>
        <w:t>licenced</w:t>
      </w:r>
      <w:proofErr w:type="spellEnd"/>
      <w:r w:rsidR="00DA3C97">
        <w:rPr>
          <w:lang w:val="en-US" w:eastAsia="zh-CN"/>
        </w:rPr>
        <w:t xml:space="preserve"> carriers (and vice versa) whenever there is partial or full overlap between the SMTCs. Due to the need to match SMTCs to measurement gaps, it is not easy to avoid overlap between licensed and NR-U SMTC patterns.</w:t>
      </w:r>
    </w:p>
    <w:p w:rsidR="00DA3C97" w:rsidRDefault="00BB712C" w:rsidP="006B6666">
      <w:r>
        <w:rPr>
          <w:lang w:val="en-US" w:eastAsia="zh-CN"/>
        </w:rPr>
        <w:lastRenderedPageBreak/>
        <w:t xml:space="preserve">For this reason, our view is that there is a strong system motivation to introduce the independent </w:t>
      </w:r>
      <w:r>
        <w:t>FR1+NR-U measurement capability</w:t>
      </w:r>
      <w:r w:rsidR="00090EED">
        <w:t>. Our proposal is that FR1+FR2+NR-U independent measurement capability would not be specified.</w:t>
      </w:r>
    </w:p>
    <w:p w:rsidR="00DA3C97" w:rsidRPr="00DA3C97" w:rsidRDefault="00DA3C97" w:rsidP="00DA3C97">
      <w:pPr>
        <w:rPr>
          <w:b/>
        </w:rPr>
      </w:pPr>
      <w:r w:rsidRPr="00DA3C97">
        <w:rPr>
          <w:b/>
          <w:lang w:val="en-US" w:eastAsia="zh-CN"/>
        </w:rPr>
        <w:t>Observation 5 :</w:t>
      </w:r>
      <w:r w:rsidR="00BB712C" w:rsidRPr="00DA3C97">
        <w:rPr>
          <w:b/>
        </w:rPr>
        <w:t xml:space="preserve">. </w:t>
      </w:r>
      <w:r w:rsidRPr="00DA3C97">
        <w:rPr>
          <w:b/>
        </w:rPr>
        <w:t xml:space="preserve">There is a strong motivation to introduce </w:t>
      </w:r>
      <w:r w:rsidRPr="00DA3C97">
        <w:rPr>
          <w:b/>
          <w:lang w:val="en-US" w:eastAsia="zh-CN"/>
        </w:rPr>
        <w:t xml:space="preserve">the independent </w:t>
      </w:r>
      <w:r w:rsidRPr="00DA3C97">
        <w:rPr>
          <w:b/>
        </w:rPr>
        <w:t>FR1+NR-U measurement capability</w:t>
      </w:r>
    </w:p>
    <w:p w:rsidR="00BB712C" w:rsidRDefault="00BB712C" w:rsidP="006B6666">
      <w:pPr>
        <w:rPr>
          <w:lang w:val="en-US" w:eastAsia="zh-CN"/>
        </w:rPr>
      </w:pPr>
      <w:r>
        <w:t xml:space="preserve">We now turn </w:t>
      </w:r>
      <w:r>
        <w:rPr>
          <w:lang w:val="en-US" w:eastAsia="zh-CN"/>
        </w:rPr>
        <w:t xml:space="preserve"> our attention to UE implementation aspects.</w:t>
      </w:r>
    </w:p>
    <w:p w:rsidR="00BB712C" w:rsidRDefault="00BB712C" w:rsidP="006B6666">
      <w:r>
        <w:rPr>
          <w:lang w:val="en-US" w:eastAsia="zh-CN"/>
        </w:rPr>
        <w:t xml:space="preserve">Some feedback received in RAN4#92 indicated plans to implement the NR-U receiver on the same RF-IC as the NR licensed band receiver by some companies. Clearly we cannot comment on individual company implementation plans, however the intention of the proposal in </w:t>
      </w:r>
      <w:r>
        <w:rPr>
          <w:lang w:val="en-US" w:eastAsia="zh-CN"/>
        </w:rPr>
        <w:fldChar w:fldCharType="begin"/>
      </w:r>
      <w:r>
        <w:rPr>
          <w:lang w:val="en-US" w:eastAsia="zh-CN"/>
        </w:rPr>
        <w:instrText xml:space="preserve"> REF _Ref20388263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was to introduce a capability for those UEs which can manage to do independent measurements. Related to this, the prerequisite for supporting such a capability from RF perspective is not that a separate RF-IC is used, but rather that the RF chains do not cause impact to each other. This may be true even for RF chains implemented on the same RF-IC, especially as the NR-U frequency bands are well separated from many of the licensed bands. RAN4 may also discuss ways to introduce more realistic capabilities, such as making the capability to support independent </w:t>
      </w:r>
      <w:r>
        <w:t>FR1+NR-U measurement frequency band dependent. In this way, the UE could avoid supporting the feature for problematic combinations, for example independent 3.5GHz + 5GHz measurement. Hence we propose that due to the likely benefit of independent FR1+NR-U measurements:</w:t>
      </w:r>
    </w:p>
    <w:p w:rsidR="00BB712C" w:rsidRDefault="00BB712C" w:rsidP="00BB712C">
      <w:pPr>
        <w:rPr>
          <w:b/>
          <w:lang w:val="en-US" w:eastAsia="zh-CN"/>
        </w:rPr>
      </w:pPr>
      <w:r>
        <w:rPr>
          <w:b/>
        </w:rPr>
        <w:t xml:space="preserve">Proposal 1 : </w:t>
      </w:r>
      <w:r>
        <w:rPr>
          <w:b/>
          <w:lang w:val="en-US" w:eastAsia="zh-CN"/>
        </w:rPr>
        <w:t>RAN4 discusses feasibility to measure NR-U bands with an independent gap pattern</w:t>
      </w:r>
    </w:p>
    <w:p w:rsidR="00BB712C" w:rsidRDefault="00BB712C" w:rsidP="00BB712C">
      <w:pPr>
        <w:rPr>
          <w:b/>
          <w:lang w:val="en-US" w:eastAsia="zh-CN"/>
        </w:rPr>
      </w:pPr>
      <w:r w:rsidRPr="00BB712C">
        <w:rPr>
          <w:b/>
          <w:lang w:val="en-US" w:eastAsia="zh-CN"/>
        </w:rPr>
        <w:t xml:space="preserve">Proposal 2 : </w:t>
      </w:r>
      <w:r>
        <w:rPr>
          <w:b/>
          <w:lang w:val="en-US" w:eastAsia="zh-CN"/>
        </w:rPr>
        <w:t>RAN4 discusses suitable capabilities which will ease the UE implementation burden</w:t>
      </w:r>
    </w:p>
    <w:p w:rsidR="00BB712C" w:rsidRPr="00BB712C" w:rsidRDefault="00BB712C" w:rsidP="006B6666">
      <w:r>
        <w:rPr>
          <w:lang w:val="en-US" w:eastAsia="zh-CN"/>
        </w:rPr>
        <w:t xml:space="preserve">Related to proposal </w:t>
      </w:r>
      <w:r w:rsidR="00DA3C97">
        <w:rPr>
          <w:lang w:val="en-US" w:eastAsia="zh-CN"/>
        </w:rPr>
        <w:t xml:space="preserve">2, RAN4 could also discuss if it simplified from a UE perspective to use some common gap pattern parameters between the independent patterns would simplify UE implementation. For example, the gap patterns could have the same gap pattern offset, and potentially also the same MGRP such that the independent measurement operations and the interruption to transmission / reception was </w:t>
      </w:r>
      <w:proofErr w:type="spellStart"/>
      <w:r w:rsidR="00DA3C97">
        <w:rPr>
          <w:lang w:val="en-US" w:eastAsia="zh-CN"/>
        </w:rPr>
        <w:t>sycnronised</w:t>
      </w:r>
      <w:proofErr w:type="spellEnd"/>
      <w:r w:rsidR="00DA3C97">
        <w:rPr>
          <w:lang w:val="en-US" w:eastAsia="zh-CN"/>
        </w:rPr>
        <w:t>, as long as the gap patterns remained independent from a measurement delay perspective.</w:t>
      </w:r>
    </w:p>
    <w:p w:rsidR="00BB712C" w:rsidRPr="00B811A7" w:rsidRDefault="00BB712C" w:rsidP="006B6666">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DA3C97" w:rsidRDefault="00DA3C97" w:rsidP="00DA3C97">
      <w:pPr>
        <w:rPr>
          <w:b/>
          <w:lang w:val="en-US" w:eastAsia="zh-CN"/>
        </w:rPr>
      </w:pPr>
      <w:r>
        <w:rPr>
          <w:b/>
          <w:lang w:val="en-US" w:eastAsia="zh-CN"/>
        </w:rPr>
        <w:t>Observation 1 : NR-U deployments will be unplanned, or less planned than licensed NR deployments</w:t>
      </w:r>
    </w:p>
    <w:p w:rsidR="00DA3C97" w:rsidRPr="00B811A7" w:rsidRDefault="00DA3C97" w:rsidP="00DA3C97">
      <w:pPr>
        <w:rPr>
          <w:b/>
          <w:lang w:val="en-US" w:eastAsia="zh-CN"/>
        </w:rPr>
      </w:pPr>
      <w:r>
        <w:rPr>
          <w:b/>
          <w:lang w:val="en-US" w:eastAsia="zh-CN"/>
        </w:rPr>
        <w:t xml:space="preserve">Observation 2 : Due to the unplanned nature of NR-U deployment, it is likely that a </w:t>
      </w:r>
      <w:r w:rsidRPr="00B811A7">
        <w:rPr>
          <w:b/>
          <w:lang w:val="en-US" w:eastAsia="zh-CN"/>
        </w:rPr>
        <w:t>relatively large number of NR-U operating frequencies</w:t>
      </w:r>
      <w:r>
        <w:rPr>
          <w:b/>
          <w:lang w:val="en-US" w:eastAsia="zh-CN"/>
        </w:rPr>
        <w:t xml:space="preserve"> (</w:t>
      </w:r>
      <w:proofErr w:type="spellStart"/>
      <w:r>
        <w:rPr>
          <w:b/>
          <w:lang w:val="en-US" w:eastAsia="zh-CN"/>
        </w:rPr>
        <w:t>interfrequency</w:t>
      </w:r>
      <w:proofErr w:type="spellEnd"/>
      <w:r>
        <w:rPr>
          <w:b/>
          <w:lang w:val="en-US" w:eastAsia="zh-CN"/>
        </w:rPr>
        <w:t>/</w:t>
      </w:r>
      <w:proofErr w:type="spellStart"/>
      <w:r>
        <w:rPr>
          <w:b/>
          <w:lang w:val="en-US" w:eastAsia="zh-CN"/>
        </w:rPr>
        <w:t>interRAT</w:t>
      </w:r>
      <w:proofErr w:type="spellEnd"/>
      <w:r>
        <w:rPr>
          <w:b/>
          <w:lang w:val="en-US" w:eastAsia="zh-CN"/>
        </w:rPr>
        <w:t>)</w:t>
      </w:r>
      <w:r w:rsidRPr="00B811A7">
        <w:rPr>
          <w:b/>
          <w:lang w:val="en-US" w:eastAsia="zh-CN"/>
        </w:rPr>
        <w:t xml:space="preserve"> may need to be provided to NR-U capable UEs</w:t>
      </w:r>
    </w:p>
    <w:p w:rsidR="00DA3C97" w:rsidRDefault="00DA3C97" w:rsidP="00DA3C97">
      <w:pPr>
        <w:rPr>
          <w:b/>
          <w:lang w:val="en-US" w:eastAsia="zh-CN"/>
        </w:rPr>
      </w:pPr>
      <w:r>
        <w:rPr>
          <w:b/>
          <w:lang w:val="en-US" w:eastAsia="zh-CN"/>
        </w:rPr>
        <w:t>Observation 3 : M</w:t>
      </w:r>
      <w:r w:rsidRPr="00B811A7">
        <w:rPr>
          <w:b/>
          <w:lang w:val="en-US" w:eastAsia="zh-CN"/>
        </w:rPr>
        <w:t>any RRM delays are extended for a carrier frequency where CCA is used, compared with carrier frequencies where CCA is not used</w:t>
      </w:r>
    </w:p>
    <w:p w:rsidR="00DA3C97" w:rsidRDefault="00DA3C97" w:rsidP="00DA3C97">
      <w:pPr>
        <w:rPr>
          <w:b/>
          <w:lang w:val="en-US" w:eastAsia="zh-CN"/>
        </w:rPr>
      </w:pPr>
      <w:r>
        <w:rPr>
          <w:b/>
          <w:lang w:val="en-US" w:eastAsia="zh-CN"/>
        </w:rPr>
        <w:t>Observation 4 : The system needs for RRM on licensed carriers are typically not relaxed when NR-U is deployed.</w:t>
      </w:r>
    </w:p>
    <w:p w:rsidR="00DA3C97" w:rsidRPr="00DA3C97" w:rsidRDefault="00DA3C97" w:rsidP="00DA3C97">
      <w:pPr>
        <w:rPr>
          <w:b/>
        </w:rPr>
      </w:pPr>
      <w:r w:rsidRPr="00DA3C97">
        <w:rPr>
          <w:b/>
          <w:lang w:val="en-US" w:eastAsia="zh-CN"/>
        </w:rPr>
        <w:t>Observation 5 :</w:t>
      </w:r>
      <w:r w:rsidRPr="00DA3C97">
        <w:rPr>
          <w:b/>
        </w:rPr>
        <w:t xml:space="preserve">. There is a strong motivation to introduce </w:t>
      </w:r>
      <w:r w:rsidRPr="00DA3C97">
        <w:rPr>
          <w:b/>
          <w:lang w:val="en-US" w:eastAsia="zh-CN"/>
        </w:rPr>
        <w:t xml:space="preserve">the independent </w:t>
      </w:r>
      <w:r w:rsidRPr="00DA3C97">
        <w:rPr>
          <w:b/>
        </w:rPr>
        <w:t>FR1+NR-U measurement capability</w:t>
      </w:r>
    </w:p>
    <w:p w:rsidR="00DA3C97" w:rsidRDefault="00DA3C97" w:rsidP="00DA3C97">
      <w:pPr>
        <w:rPr>
          <w:b/>
          <w:lang w:val="en-US" w:eastAsia="zh-CN"/>
        </w:rPr>
      </w:pPr>
      <w:r>
        <w:rPr>
          <w:b/>
        </w:rPr>
        <w:t xml:space="preserve">Proposal 1 : </w:t>
      </w:r>
      <w:r>
        <w:rPr>
          <w:b/>
          <w:lang w:val="en-US" w:eastAsia="zh-CN"/>
        </w:rPr>
        <w:t>RAN4 discusses feasibility to measure NR-U bands with an independent gap pattern</w:t>
      </w:r>
    </w:p>
    <w:p w:rsidR="00DA3C97" w:rsidRDefault="00DA3C97" w:rsidP="00DA3C97">
      <w:pPr>
        <w:rPr>
          <w:b/>
          <w:lang w:val="en-US" w:eastAsia="zh-CN"/>
        </w:rPr>
      </w:pPr>
      <w:r w:rsidRPr="00BB712C">
        <w:rPr>
          <w:b/>
          <w:lang w:val="en-US" w:eastAsia="zh-CN"/>
        </w:rPr>
        <w:t xml:space="preserve">Proposal 2 : </w:t>
      </w:r>
      <w:r>
        <w:rPr>
          <w:b/>
          <w:lang w:val="en-US" w:eastAsia="zh-CN"/>
        </w:rPr>
        <w:t>RAN4 discusses suitable capabilities which will ease the UE implementation burden</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072ED" w:rsidP="002072ED">
      <w:pPr>
        <w:pStyle w:val="3GPPNormalText"/>
        <w:numPr>
          <w:ilvl w:val="0"/>
          <w:numId w:val="5"/>
        </w:numPr>
        <w:rPr>
          <w:szCs w:val="20"/>
          <w:lang w:eastAsia="zh-CN"/>
        </w:rPr>
      </w:pPr>
      <w:bookmarkStart w:id="1" w:name="_Ref20388263"/>
      <w:r w:rsidRPr="002072ED">
        <w:rPr>
          <w:szCs w:val="20"/>
          <w:lang w:eastAsia="zh-CN"/>
        </w:rPr>
        <w:t>R4-1909567</w:t>
      </w:r>
      <w:r w:rsidRPr="002072ED">
        <w:rPr>
          <w:szCs w:val="20"/>
          <w:lang w:eastAsia="zh-CN"/>
        </w:rPr>
        <w:tab/>
      </w:r>
      <w:r>
        <w:rPr>
          <w:szCs w:val="20"/>
          <w:lang w:eastAsia="zh-CN"/>
        </w:rPr>
        <w:t xml:space="preserve"> “</w:t>
      </w:r>
      <w:r w:rsidRPr="002072ED">
        <w:rPr>
          <w:szCs w:val="20"/>
          <w:lang w:eastAsia="zh-CN"/>
        </w:rPr>
        <w:t>Measurement gap requirement delay scaling for NR-U</w:t>
      </w:r>
      <w:r>
        <w:rPr>
          <w:szCs w:val="20"/>
          <w:lang w:eastAsia="zh-CN"/>
        </w:rPr>
        <w:t xml:space="preserve">”, </w:t>
      </w:r>
      <w:r w:rsidRPr="002072ED">
        <w:rPr>
          <w:szCs w:val="20"/>
          <w:lang w:eastAsia="zh-CN"/>
        </w:rPr>
        <w:t>Ericsson</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464" w:rsidRDefault="00010464">
      <w:r>
        <w:separator/>
      </w:r>
    </w:p>
  </w:endnote>
  <w:endnote w:type="continuationSeparator" w:id="0">
    <w:p w:rsidR="00010464" w:rsidRDefault="00010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464" w:rsidRDefault="00010464">
      <w:r>
        <w:separator/>
      </w:r>
    </w:p>
  </w:footnote>
  <w:footnote w:type="continuationSeparator" w:id="0">
    <w:p w:rsidR="00010464" w:rsidRDefault="00010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6"/>
  </w:num>
  <w:num w:numId="2">
    <w:abstractNumId w:val="33"/>
  </w:num>
  <w:num w:numId="3">
    <w:abstractNumId w:val="35"/>
  </w:num>
  <w:num w:numId="4">
    <w:abstractNumId w:val="10"/>
  </w:num>
  <w:num w:numId="5">
    <w:abstractNumId w:val="13"/>
  </w:num>
  <w:num w:numId="6">
    <w:abstractNumId w:val="29"/>
  </w:num>
  <w:num w:numId="7">
    <w:abstractNumId w:val="11"/>
  </w:num>
  <w:num w:numId="8">
    <w:abstractNumId w:val="23"/>
  </w:num>
  <w:num w:numId="9">
    <w:abstractNumId w:val="14"/>
  </w:num>
  <w:num w:numId="10">
    <w:abstractNumId w:val="15"/>
  </w:num>
  <w:num w:numId="11">
    <w:abstractNumId w:val="7"/>
  </w:num>
  <w:num w:numId="12">
    <w:abstractNumId w:val="20"/>
  </w:num>
  <w:num w:numId="13">
    <w:abstractNumId w:val="0"/>
  </w:num>
  <w:num w:numId="14">
    <w:abstractNumId w:val="1"/>
  </w:num>
  <w:num w:numId="15">
    <w:abstractNumId w:val="34"/>
  </w:num>
  <w:num w:numId="16">
    <w:abstractNumId w:val="21"/>
  </w:num>
  <w:num w:numId="17">
    <w:abstractNumId w:val="22"/>
  </w:num>
  <w:num w:numId="18">
    <w:abstractNumId w:val="9"/>
  </w:num>
  <w:num w:numId="19">
    <w:abstractNumId w:val="25"/>
  </w:num>
  <w:num w:numId="20">
    <w:abstractNumId w:val="27"/>
  </w:num>
  <w:num w:numId="21">
    <w:abstractNumId w:val="6"/>
  </w:num>
  <w:num w:numId="22">
    <w:abstractNumId w:val="31"/>
  </w:num>
  <w:num w:numId="23">
    <w:abstractNumId w:val="3"/>
  </w:num>
  <w:num w:numId="24">
    <w:abstractNumId w:val="24"/>
  </w:num>
  <w:num w:numId="25">
    <w:abstractNumId w:val="8"/>
  </w:num>
  <w:num w:numId="26">
    <w:abstractNumId w:val="26"/>
  </w:num>
  <w:num w:numId="27">
    <w:abstractNumId w:val="18"/>
  </w:num>
  <w:num w:numId="28">
    <w:abstractNumId w:val="19"/>
  </w:num>
  <w:num w:numId="29">
    <w:abstractNumId w:val="32"/>
  </w:num>
  <w:num w:numId="30">
    <w:abstractNumId w:val="28"/>
  </w:num>
  <w:num w:numId="31">
    <w:abstractNumId w:val="30"/>
  </w:num>
  <w:num w:numId="32">
    <w:abstractNumId w:val="12"/>
  </w:num>
  <w:num w:numId="33">
    <w:abstractNumId w:val="17"/>
  </w:num>
  <w:num w:numId="34">
    <w:abstractNumId w:val="2"/>
  </w:num>
  <w:num w:numId="35">
    <w:abstractNumId w:val="4"/>
  </w:num>
  <w:num w:numId="3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464"/>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24F9"/>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0EED"/>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2ED"/>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375"/>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279"/>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1A7"/>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12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1F6"/>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C97"/>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860F3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0DAE54B-7E2B-4566-9D59-6A532C6A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2019-10-03T10:15:00Z</dcterms:created>
  <dcterms:modified xsi:type="dcterms:W3CDTF">2019-10-04T14:37:00Z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